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01E38"/>
          <w:sz w:val="44"/>
          <w:szCs w:val="44"/>
        </w:rPr>
        <w:t xml:space="preserve">FlockOff! Westchester — Action Plan</w:t>
      </w:r>
    </w:p>
    <w:p>
      <w:pPr>
        <w:spacing w:after="180"/>
      </w:pPr>
      <w:r>
        <w:rPr>
          <w:i/>
          <w:iCs/>
          <w:color w:val="6B6659"/>
        </w:rPr>
        <w:t xml:space="preserve">Last updated: September 2026</w:t>
      </w:r>
    </w:p>
    <w:p>
      <w:pPr>
        <w:spacing w:after="180"/>
      </w:pPr>
      <w:r>
        <w:rPr>
          <w:i/>
          <w:iCs/>
          <w:color w:val="6B6659"/>
        </w:rPr>
        <w:t xml:space="preserve">A model for organizing against ALPR surveillance in your Westchester town. Based on our work in Katonah/Town of Bedford, and adapted from the </w:t>
      </w:r>
      <w:hyperlink w:history="1" r:id="rIdbw3mb-bcz2rnvntaxjdm7">
        <w:r>
          <w:rPr>
            <w:i/>
            <w:iCs/>
            <w:color w:val="8C3B37"/>
            <w:u w:val="single"/>
          </w:rPr>
          <w:t xml:space="preserve">FlockOff! Ithaca guide</w:t>
        </w:r>
      </w:hyperlink>
      <w:r>
        <w:rPr>
          <w:i/>
          <w:iCs/>
          <w:color w:val="6B6659"/>
        </w:rPr>
        <w:t xml:space="preserve">. Use this as a model to start in your own town — Bedford-specific examples are marked so you can swap in your own town's details.</w:t>
      </w:r>
    </w:p>
    <w:p>
      <w:pPr>
        <w:spacing w:after="180"/>
      </w:pPr>
      <w:r>
        <w:rPr>
          <w:b/>
          <w:bCs/>
          <w:color w:val="101E38"/>
        </w:rPr>
        <w:t xml:space="preserve">Note on vendors: </w:t>
      </w:r>
      <w:r>
        <w:t xml:space="preserve">this plan uses "Flock" as shorthand since it's the most common brand, but everything here applies equally to Axon, Rekor, Vigilant Solutions, ELSAG, Motorola, or any other ALPR vendor. Your FOIL requests should name whichever vendor(s) turn out to be relevant in your town.</w:t>
      </w:r>
    </w:p>
    <w:p>
      <w:pPr>
        <w:pStyle w:val="Heading1"/>
        <w:pBdr>
          <w:bottom w:val="single" w:color="D8D3C5" w:sz="6" w:space="6"/>
        </w:pBdr>
        <w:spacing w:after="160" w:before="360"/>
      </w:pPr>
      <w:r>
        <w:rPr>
          <w:rFonts w:ascii="Arial" w:cs="Arial" w:eastAsia="Arial" w:hAnsi="Arial"/>
          <w:b/>
          <w:bCs/>
          <w:color w:val="101E38"/>
          <w:sz w:val="30"/>
          <w:szCs w:val="30"/>
        </w:rPr>
        <w:t xml:space="preserve">Step 1: Document &amp; Confirm</w:t>
      </w:r>
    </w:p>
    <w:p>
      <w:pPr>
        <w:spacing w:after="180"/>
      </w:pPr>
      <w:r>
        <w:t xml:space="preserve">Before organizing publicly, confirm what's actually there.</w:t>
      </w:r>
    </w:p>
    <w:p>
      <w:pPr>
        <w:pStyle w:val="ListParagraph"/>
        <w:numPr>
          <w:ilvl w:val="0"/>
          <w:numId w:val="2"/>
        </w:numPr>
        <w:spacing w:after="100"/>
      </w:pPr>
      <w:r>
        <w:t xml:space="preserve">Check community-mapped trackers: </w:t>
      </w:r>
      <w:hyperlink w:history="1" r:id="rIdz3ec5rwjfoi6tzhfamm0e">
        <w:r>
          <w:rPr>
            <w:rStyle w:val="Hyperlink"/>
            <w:color w:val="8C3B37"/>
            <w:u w:val="single"/>
          </w:rPr>
          <w:t xml:space="preserve">DeFlock</w:t>
        </w:r>
      </w:hyperlink>
      <w:r>
        <w:t xml:space="preserve"> and the </w:t>
      </w:r>
      <w:hyperlink w:history="1" r:id="rIdcbd8vsllkuq-zn3yzxkn0">
        <w:r>
          <w:rPr>
            <w:rStyle w:val="Hyperlink"/>
            <w:color w:val="8C3B37"/>
            <w:u w:val="single"/>
          </w:rPr>
          <w:t xml:space="preserve">EFF Atlas of Surveillance</w:t>
        </w:r>
      </w:hyperlink>
      <w:r>
        <w:t xml:space="preserve">.</w:t>
      </w:r>
    </w:p>
    <w:p>
      <w:pPr>
        <w:pStyle w:val="ListParagraph"/>
        <w:numPr>
          <w:ilvl w:val="0"/>
          <w:numId w:val="2"/>
        </w:numPr>
        <w:spacing w:after="100"/>
      </w:pPr>
      <w:r>
        <w:t xml:space="preserve">File FOIL requests with your town clerk and county records office (see sample language below).</w:t>
      </w:r>
    </w:p>
    <w:p>
      <w:pPr>
        <w:pStyle w:val="ListParagraph"/>
        <w:numPr>
          <w:ilvl w:val="0"/>
          <w:numId w:val="2"/>
        </w:numPr>
        <w:spacing w:after="100"/>
      </w:pPr>
      <w:r>
        <w:t xml:space="preserve">Check whether your county runs its own camera network independent of any town-level contract — county systems on county roads can exist even where the local PD has nothing.</w:t>
      </w:r>
    </w:p>
    <w:p>
      <w:pPr>
        <w:spacing w:after="180"/>
      </w:pPr>
      <w:r>
        <w:rPr>
          <w:b/>
          <w:bCs/>
          <w:color w:val="101E38"/>
        </w:rPr>
        <w:t xml:space="preserve">Example — Bedford/Westchester: </w:t>
      </w:r>
      <w:r>
        <w:t xml:space="preserve">DeFlock lists the Town of Bedford as </w:t>
      </w:r>
      <w:r>
        <w:rPr>
          <w:b/>
          <w:bCs/>
          <w:color w:val="101E38"/>
        </w:rPr>
        <w:t xml:space="preserve">"unconfirmed vendor"</w:t>
      </w:r>
      <w:r>
        <w:t xml:space="preserve"> — that's still an open question we haven't resolved via FOIL yet. But at the county level, we found something bigger while researching: Westchester County is currently being sued (</w:t>
      </w:r>
      <w:r>
        <w:rPr>
          <w:i/>
          <w:iCs/>
          <w:color w:val="101E38"/>
        </w:rPr>
        <w:t xml:space="preserve">Umemoto v. Westchester County Police Department</w:t>
      </w:r>
      <w:r>
        <w:t xml:space="preserve">, filed June 2026) by the NYCLU, the Knight First Amendment Institute at Columbia, and the Policing Project at NYU. The suit alleges the county has run a roughly 575-camera ALPR network (vendor: Rekor) since around 2013, with no elected body ever authorizing it, retaining data for at least two years and sharing it with 50+ outside agencies including ICE. </w:t>
      </w:r>
      <w:hyperlink w:history="1" r:id="rIdmct7gnnlwdkj6xxuer_nz">
        <w:r>
          <w:rPr>
            <w:rStyle w:val="Hyperlink"/>
            <w:color w:val="8C3B37"/>
            <w:u w:val="single"/>
          </w:rPr>
          <w:t xml:space="preserve">Read the case summary →</w:t>
        </w:r>
      </w:hyperlink>
    </w:p>
    <w:p>
      <w:pPr>
        <w:pStyle w:val="Heading2"/>
        <w:spacing w:after="100" w:before="240"/>
      </w:pPr>
      <w:r>
        <w:rPr>
          <w:rFonts w:ascii="Arial" w:cs="Arial" w:eastAsia="Arial" w:hAnsi="Arial"/>
          <w:b/>
          <w:bCs/>
          <w:color w:val="101E38"/>
          <w:sz w:val="24"/>
          <w:szCs w:val="24"/>
        </w:rPr>
        <w:t xml:space="preserve">Sample FOIL request language</w:t>
      </w:r>
    </w:p>
    <w:p>
      <w:pPr>
        <w:spacing w:after="180"/>
      </w:pPr>
      <w:r>
        <w:t xml:space="preserve">New York's public records law is the </w:t>
      </w:r>
      <w:r>
        <w:rPr>
          <w:b/>
          <w:bCs/>
          <w:color w:val="101E38"/>
        </w:rPr>
        <w:t xml:space="preserve">Freedom of Information Law (FOIL)</w:t>
      </w:r>
      <w:r>
        <w:t xml:space="preserve">. File with your town clerk and separately with your county — don't combine them into one email. Keep a copy of what you send and the date, so you can track the 5-business-day acknowledgment clock New York agencies are required to meet.</w:t>
      </w:r>
    </w:p>
    <w:p>
      <w:pPr>
        <w:spacing w:after="180"/>
      </w:pPr>
      <w:r>
        <w:rPr>
          <w:b/>
          <w:bCs/>
          <w:color w:val="101E38"/>
        </w:rPr>
        <w:t xml:space="preserve">Where to file: </w:t>
      </w:r>
      <w:r>
        <w:t xml:space="preserve">your town clerk's contact info is usually on your town's website (look for "FOIL" or "Records Access Officer"). Many NY counties route FOIL requests through a central online form regardless of department — check your county website for one before emailing a specific office directly.</w:t>
      </w:r>
    </w:p>
    <w:p>
      <w:pPr>
        <w:spacing w:after="180"/>
      </w:pPr>
      <w:r>
        <w:rPr>
          <w:b/>
          <w:bCs/>
          <w:color w:val="101E38"/>
        </w:rPr>
        <w:t xml:space="preserve">Example — Bedford/Westchester:</w:t>
      </w:r>
    </w:p>
    <w:p>
      <w:pPr>
        <w:pStyle w:val="ListParagraph"/>
        <w:numPr>
          <w:ilvl w:val="0"/>
          <w:numId w:val="2"/>
        </w:numPr>
        <w:spacing w:after="100"/>
      </w:pPr>
      <w:r>
        <w:rPr>
          <w:b/>
          <w:bCs/>
          <w:color w:val="101E38"/>
        </w:rPr>
        <w:t xml:space="preserve">Town of Bedford: </w:t>
      </w:r>
      <w:r>
        <w:t xml:space="preserve">Town Clerk Alexandra Whalen, townclerk@bedfordny.gov, 321 Bedford Road, Bedford Hills, NY 10507, (914) 666-4534, or the </w:t>
      </w:r>
      <w:hyperlink w:history="1" r:id="rIdijby1prr5ovxxfsqaox5m">
        <w:r>
          <w:rPr>
            <w:rStyle w:val="Hyperlink"/>
            <w:color w:val="8C3B37"/>
            <w:u w:val="single"/>
          </w:rPr>
          <w:t xml:space="preserve">online form</w:t>
        </w:r>
      </w:hyperlink>
      <w:r>
        <w:t xml:space="preserve">.</w:t>
      </w:r>
    </w:p>
    <w:p>
      <w:pPr>
        <w:pStyle w:val="ListParagraph"/>
        <w:numPr>
          <w:ilvl w:val="0"/>
          <w:numId w:val="2"/>
        </w:numPr>
        <w:spacing w:after="100"/>
      </w:pPr>
      <w:r>
        <w:rPr>
          <w:b/>
          <w:bCs/>
          <w:color w:val="101E38"/>
        </w:rPr>
        <w:t xml:space="preserve">Westchester County: </w:t>
      </w:r>
      <w:hyperlink w:history="1" r:id="rIdjsvrxthbrtcv2swyyy16x">
        <w:r>
          <w:rPr>
            <w:rStyle w:val="Hyperlink"/>
            <w:color w:val="8C3B37"/>
            <w:u w:val="single"/>
          </w:rPr>
          <w:t xml:space="preserve">central FOIL form</w:t>
        </w:r>
      </w:hyperlink>
      <w:r>
        <w:t xml:space="preserve"> (routes automatically, including to County Police). Named contact for follow-up: Westchester County Police Records Unit, 1 Saw Mill River Parkway, Hawthorne, NY 10532, (914) 864-7676.</w:t>
      </w:r>
    </w:p>
    <w:p>
      <w:pPr>
        <w:shd w:fill="F0EEE7" w:val="clear"/>
        <w:spacing w:after="60"/>
        <w:ind w:left="431" w:right="431"/>
      </w:pPr>
      <w:r>
        <w:t xml:space="preserve">This is a request pursuant to New York's Freedom of Information Law (Public Officers Law, Article 6).</w:t>
      </w:r>
    </w:p>
    <w:p>
      <w:pPr>
        <w:shd w:fill="F0EEE7" w:val="clear"/>
        <w:spacing w:after="60"/>
        <w:ind w:left="431" w:right="431"/>
      </w:pPr>
      <w:r>
        <w:t xml:space="preserve">I am requesting the following records related to automated license plate readers (ALPRs) or similar surveillance technology (including but not limited to gunshot detection) used or considered by [agency name — e.g., Town of Bedford / Bedford Police Department, or Westchester County / County Police]:</w:t>
      </w:r>
    </w:p>
    <w:p>
      <w:pPr>
        <w:shd w:fill="F0EEE7" w:val="clear"/>
        <w:spacing w:after="60"/>
        <w:ind w:left="431" w:right="431"/>
      </w:pPr>
      <w:r>
        <w:t xml:space="preserve">1. Any active, expired, or otherwise past contract(s) with a vendor of this technology — including but not limited to Flock Safety, Axon Enterprise, Rekor Systems, Vigilant Solutions, ELSAG, or Motorola Solutions.</w:t>
      </w:r>
    </w:p>
    <w:p>
      <w:pPr>
        <w:shd w:fill="F0EEE7" w:val="clear"/>
        <w:spacing w:after="60"/>
        <w:ind w:left="431" w:right="431"/>
      </w:pPr>
      <w:r>
        <w:t xml:space="preserve">2. Any pending proposal, solicitation, RFP, or purchase order for this technology that has not yet been finalized.</w:t>
      </w:r>
    </w:p>
    <w:p>
      <w:pPr>
        <w:shd w:fill="F0EEE7" w:val="clear"/>
        <w:spacing w:after="60"/>
        <w:ind w:left="431" w:right="431"/>
      </w:pPr>
      <w:r>
        <w:t xml:space="preserve">3. Any board, council, or legislative meeting minutes or resolutions discussing the acquisition or use of this technology.</w:t>
      </w:r>
    </w:p>
    <w:p>
      <w:pPr>
        <w:shd w:fill="F0EEE7" w:val="clear"/>
        <w:spacing w:after="60"/>
        <w:ind w:left="431" w:right="431"/>
      </w:pPr>
      <w:r>
        <w:t xml:space="preserve">4. Records of funding source(s) for this technology, including any state grant applications (e.g., the GIVE Initiative).</w:t>
      </w:r>
    </w:p>
    <w:p>
      <w:pPr>
        <w:shd w:fill="F0EEE7" w:val="clear"/>
        <w:spacing w:after="60"/>
        <w:ind w:left="431" w:right="431"/>
      </w:pPr>
      <w:r>
        <w:t xml:space="preserve">5. Network audit logs showing which outside agencies have queried the system, and data-sharing/network configuration settings.</w:t>
      </w:r>
    </w:p>
    <w:p>
      <w:pPr>
        <w:shd w:fill="F0EEE7" w:val="clear"/>
        <w:spacing w:after="60"/>
        <w:ind w:left="431" w:right="431"/>
      </w:pPr>
      <w:r>
        <w:t xml:space="preserve">6. Photographs, spec sheets, or technical documentation sufficient to identify the make, model, and manufacturer of each camera or sensor unit installed at any of the locations listed below, including any unit that captures vehicle images, license plates, or other identifying data regardless of how it is officially categorized (e.g., "traffic monitoring," "public safety camera," or similar).</w:t>
      </w:r>
    </w:p>
    <w:p>
      <w:pPr>
        <w:shd w:fill="F0EEE7" w:val="clear"/>
        <w:spacing w:after="60"/>
        <w:ind w:left="431" w:right="431"/>
      </w:pPr>
      <w:r>
        <w:t xml:space="preserve">7. Any maintenance, service, or data-transmission agreement associated with each such unit, including the vendor or contractor responsible for it.</w:t>
      </w:r>
    </w:p>
    <w:p>
      <w:pPr>
        <w:shd w:fill="F0EEE7" w:val="clear"/>
        <w:spacing w:after="60"/>
        <w:ind w:left="431" w:right="431"/>
      </w:pPr>
      <w:r>
        <w:t xml:space="preserve">8. Any agreement, work order, or utility account authorizing electrical service to a camera or sensor unit mounted on a utility pole at any of the locations listed below, including the name of the agency or entity billed for that service.</w:t>
      </w:r>
    </w:p>
    <w:p>
      <w:pPr>
        <w:shd w:fill="F0EEE7" w:val="clear"/>
        <w:spacing w:after="60"/>
        <w:ind w:left="431" w:right="431"/>
      </w:pPr>
      <w:r>
        <w:t xml:space="preserve">This request covers hardware at the following documented locations within [your town], as well as any other units meeting the criteria above that I may not have listed:</w:t>
      </w:r>
    </w:p>
    <w:p>
      <w:pPr>
        <w:shd w:fill="F0EEE7" w:val="clear"/>
        <w:spacing w:after="60"/>
        <w:ind w:left="431" w:right="431"/>
      </w:pPr>
      <w:r>
        <w:t xml:space="preserve">[List your documented camera locations here — see tip below]</w:t>
      </w:r>
    </w:p>
    <w:p>
      <w:pPr>
        <w:shd w:fill="F0EEE7" w:val="clear"/>
        <w:spacing w:after="60"/>
        <w:ind w:left="431" w:right="431"/>
      </w:pPr>
      <w:r>
        <w:t xml:space="preserve">If any of these locations are found to lie outside [agency]'s jurisdiction, please advise so the request can be redirected accordingly.</w:t>
      </w:r>
    </w:p>
    <w:p>
      <w:pPr>
        <w:shd w:fill="F0EEE7" w:val="clear"/>
        <w:spacing w:after="60"/>
        <w:ind w:left="431" w:right="431"/>
      </w:pPr>
      <w:r>
        <w:t xml:space="preserve">If fees apply, please inform me of the total cost in advance. I would prefer the request be fulfilled electronically, by email attachment.</w:t>
      </w:r>
    </w:p>
    <w:p>
      <w:pPr>
        <w:spacing w:after="180"/>
      </w:pPr>
      <w:r>
        <w:t xml:space="preserve"/>
      </w:r>
    </w:p>
    <w:p>
      <w:pPr>
        <w:spacing w:after="180"/>
      </w:pPr>
      <w:r>
        <w:rPr>
          <w:b/>
          <w:bCs/>
          <w:color w:val="101E38"/>
        </w:rPr>
        <w:t xml:space="preserve">Tip — list your specific locations. </w:t>
      </w:r>
      <w:r>
        <w:t xml:space="preserve">A request naming exact, personally-documented locations (road, nearest cross-street or landmark, and a plain description of the hardware you saw) is much harder for an agency to answer with a generic non-response than one asking about the technology in the abstract. Walk or drive your town's main corridors and note what you find before filing.</w:t>
      </w:r>
    </w:p>
    <w:p>
      <w:pPr>
        <w:spacing w:after="180"/>
      </w:pPr>
      <w:r>
        <w:t xml:space="preserve">A few things worth knowing going in: New York has no statewide ALPR retention cap by default (State Police self-limit to 5 years), and </w:t>
      </w:r>
      <w:r>
        <w:rPr>
          <w:b/>
          <w:bCs/>
          <w:color w:val="101E38"/>
        </w:rPr>
        <w:t xml:space="preserve">Executive Order 170 (2017)</w:t>
      </w:r>
      <w:r>
        <w:t xml:space="preserve"> restricts state agency cooperation with federal civil immigration enforcement — relevant context given documented ICE-access issues elsewhere. Westchester County has separately cited a FOIL exemption to withhold exact camera locations, claiming disclosure would reveal "nonroutine law enforcement techniques" — expect possible resistance on that specific detail even if the rest of your request is fulfilled.</w:t>
      </w:r>
    </w:p>
    <w:p>
      <w:pPr>
        <w:pStyle w:val="Heading1"/>
        <w:pBdr>
          <w:bottom w:val="single" w:color="D8D3C5" w:sz="6" w:space="6"/>
        </w:pBdr>
        <w:spacing w:after="160" w:before="360"/>
      </w:pPr>
      <w:r>
        <w:rPr>
          <w:rFonts w:ascii="Arial" w:cs="Arial" w:eastAsia="Arial" w:hAnsi="Arial"/>
          <w:b/>
          <w:bCs/>
          <w:color w:val="101E38"/>
          <w:sz w:val="30"/>
          <w:szCs w:val="30"/>
        </w:rPr>
        <w:t xml:space="preserve">Step 2: Build a Core Team</w:t>
      </w:r>
    </w:p>
    <w:p>
      <w:pPr>
        <w:pStyle w:val="ListParagraph"/>
        <w:numPr>
          <w:ilvl w:val="0"/>
          <w:numId w:val="2"/>
        </w:numPr>
        <w:spacing w:after="100"/>
      </w:pPr>
      <w:r>
        <w:t xml:space="preserve">Recruit 3–4 people for a core organizing group.</w:t>
      </w:r>
    </w:p>
    <w:p>
      <w:pPr>
        <w:pStyle w:val="ListParagraph"/>
        <w:numPr>
          <w:ilvl w:val="0"/>
          <w:numId w:val="2"/>
        </w:numPr>
        <w:spacing w:after="100"/>
      </w:pPr>
      <w:r>
        <w:t xml:space="preserve">Set up a communication channel for the core team and any resident volunteers. Signal is a solid option for privacy. Keep it separate from your public-facing site — don't publish an invite link there.</w:t>
      </w:r>
    </w:p>
    <w:p>
      <w:pPr>
        <w:pStyle w:val="ListParagraph"/>
        <w:numPr>
          <w:ilvl w:val="1"/>
          <w:numId w:val="2"/>
        </w:numPr>
        <w:spacing w:after="100"/>
      </w:pPr>
      <w:r>
        <w:t xml:space="preserve">Reference if using Signal: </w:t>
      </w:r>
      <w:hyperlink w:history="1" r:id="rIdkqadsz7i239ko_p9ddhyc">
        <w:r>
          <w:rPr>
            <w:rStyle w:val="Hyperlink"/>
            <w:color w:val="8C3B37"/>
            <w:u w:val="single"/>
          </w:rPr>
          <w:t xml:space="preserve">EFF's guide to managing Signal groups securely</w:t>
        </w:r>
      </w:hyperlink>
    </w:p>
    <w:p>
      <w:pPr>
        <w:pStyle w:val="ListParagraph"/>
        <w:numPr>
          <w:ilvl w:val="0"/>
          <w:numId w:val="2"/>
        </w:numPr>
        <w:spacing w:after="100"/>
      </w:pPr>
      <w:r>
        <w:t xml:space="preserve">Use Instagram for public updates. If you're starting this in another Westchester town, tag </w:t>
      </w:r>
      <w:hyperlink w:history="1" r:id="rId-6fdl4prkpaw53xkdaptp">
        <w:r>
          <w:rPr>
            <w:rStyle w:val="Hyperlink"/>
            <w:color w:val="8C3B37"/>
            <w:u w:val="single"/>
          </w:rPr>
          <w:t xml:space="preserve">@flockoffwestchester</w:t>
        </w:r>
      </w:hyperlink>
      <w:r>
        <w:t xml:space="preserve"> — we're tracking other local efforts to cross-promote.</w:t>
      </w:r>
    </w:p>
    <w:p>
      <w:pPr>
        <w:pStyle w:val="Heading1"/>
        <w:pBdr>
          <w:bottom w:val="single" w:color="D8D3C5" w:sz="6" w:space="6"/>
        </w:pBdr>
        <w:spacing w:after="160" w:before="360"/>
      </w:pPr>
      <w:r>
        <w:rPr>
          <w:rFonts w:ascii="Arial" w:cs="Arial" w:eastAsia="Arial" w:hAnsi="Arial"/>
          <w:b/>
          <w:bCs/>
          <w:color w:val="101E38"/>
          <w:sz w:val="30"/>
          <w:szCs w:val="30"/>
        </w:rPr>
        <w:t xml:space="preserve">Step 3: Build Community Recognition</w:t>
      </w:r>
    </w:p>
    <w:p>
      <w:pPr>
        <w:pStyle w:val="ListParagraph"/>
        <w:numPr>
          <w:ilvl w:val="0"/>
          <w:numId w:val="2"/>
        </w:numPr>
        <w:spacing w:after="100"/>
      </w:pPr>
      <w:r>
        <w:t xml:space="preserve">Host a public info session, in person or virtual.</w:t>
      </w:r>
    </w:p>
    <w:p>
      <w:pPr>
        <w:pStyle w:val="ListParagraph"/>
        <w:numPr>
          <w:ilvl w:val="0"/>
          <w:numId w:val="2"/>
        </w:numPr>
        <w:spacing w:after="100"/>
      </w:pPr>
      <w:r>
        <w:t xml:space="preserve">Show up to public comment periods at your town board and county legislature meetings.</w:t>
      </w:r>
    </w:p>
    <w:p>
      <w:pPr>
        <w:pStyle w:val="ListParagraph"/>
        <w:numPr>
          <w:ilvl w:val="0"/>
          <w:numId w:val="2"/>
        </w:numPr>
        <w:spacing w:after="100"/>
      </w:pPr>
      <w:r>
        <w:t xml:space="preserve">Build coalition partners. For example: local political party committees and local Indivisible chapters, NYCLU (the New York state affiliate of the ACLU — active in Westchester specifically via the Umemoto lawsuit above), immigrant-rights groups, faith communities, and PTA/parent networks.</w:t>
      </w:r>
    </w:p>
    <w:p>
      <w:pPr>
        <w:pStyle w:val="ListParagraph"/>
        <w:numPr>
          <w:ilvl w:val="0"/>
          <w:numId w:val="2"/>
        </w:numPr>
        <w:spacing w:after="100"/>
      </w:pPr>
      <w:r>
        <w:t xml:space="preserve">Build a shared, searchable bibliography of what you find — e.g., a pinned doc in your team's chat.</w:t>
      </w:r>
    </w:p>
    <w:p>
      <w:pPr>
        <w:spacing w:after="180"/>
      </w:pPr>
      <w:r>
        <w:rPr>
          <w:b/>
          <w:bCs/>
          <w:color w:val="101E38"/>
        </w:rPr>
        <w:t xml:space="preserve">Example — Bedford/Westchester meeting info:</w:t>
      </w:r>
    </w:p>
    <w:p>
      <w:pPr>
        <w:pStyle w:val="ListParagraph"/>
        <w:numPr>
          <w:ilvl w:val="0"/>
          <w:numId w:val="2"/>
        </w:numPr>
        <w:spacing w:after="100"/>
      </w:pPr>
      <w:r>
        <w:rPr>
          <w:b/>
          <w:bCs/>
          <w:color w:val="101E38"/>
        </w:rPr>
        <w:t xml:space="preserve">Bedford Town Board: </w:t>
      </w:r>
      <w:r>
        <w:t xml:space="preserve">1st and 3rd Tuesdays most months. </w:t>
      </w:r>
      <w:hyperlink w:history="1" r:id="rIdtiy6tj3m1fjxeev8thape">
        <w:r>
          <w:rPr>
            <w:rStyle w:val="Hyperlink"/>
            <w:color w:val="8C3B37"/>
            <w:u w:val="single"/>
          </w:rPr>
          <w:t xml:space="preserve">Agenda &amp; schedule →</w:t>
        </w:r>
      </w:hyperlink>
    </w:p>
    <w:p>
      <w:pPr>
        <w:pStyle w:val="ListParagraph"/>
        <w:numPr>
          <w:ilvl w:val="0"/>
          <w:numId w:val="2"/>
        </w:numPr>
        <w:spacing w:after="100"/>
      </w:pPr>
      <w:r>
        <w:rPr>
          <w:b/>
          <w:bCs/>
          <w:color w:val="101E38"/>
        </w:rPr>
        <w:t xml:space="preserve">Westchester County Board of Legislators / Public Safety Committee: </w:t>
      </w:r>
      <w:hyperlink w:history="1" r:id="rId563ab8juj-orzj6zn1rr1">
        <w:r>
          <w:rPr>
            <w:rStyle w:val="Hyperlink"/>
            <w:color w:val="8C3B37"/>
            <w:u w:val="single"/>
          </w:rPr>
          <w:t xml:space="preserve">Meeting calendar →</w:t>
        </w:r>
      </w:hyperlink>
      <w:r>
        <w:t xml:space="preserve"> (filter by committee to find Public Safety)</w:t>
      </w:r>
    </w:p>
    <w:p>
      <w:pPr>
        <w:pStyle w:val="ListParagraph"/>
        <w:numPr>
          <w:ilvl w:val="0"/>
          <w:numId w:val="2"/>
        </w:numPr>
        <w:spacing w:after="100"/>
      </w:pPr>
      <w:r>
        <w:t xml:space="preserve">Bedford falls in County Legislative District 2, currently represented by Erika Pierce (D).</w:t>
      </w:r>
    </w:p>
    <w:p>
      <w:pPr>
        <w:pStyle w:val="Heading1"/>
        <w:pBdr>
          <w:bottom w:val="single" w:color="D8D3C5" w:sz="6" w:space="6"/>
        </w:pBdr>
        <w:spacing w:after="160" w:before="360"/>
      </w:pPr>
      <w:r>
        <w:rPr>
          <w:rFonts w:ascii="Arial" w:cs="Arial" w:eastAsia="Arial" w:hAnsi="Arial"/>
          <w:b/>
          <w:bCs/>
          <w:color w:val="101E38"/>
          <w:sz w:val="30"/>
          <w:szCs w:val="30"/>
        </w:rPr>
        <w:t xml:space="preserve">Step 4: Lobby Local Government</w:t>
      </w:r>
    </w:p>
    <w:p>
      <w:pPr>
        <w:spacing w:after="180"/>
      </w:pPr>
      <w:r>
        <w:t xml:space="preserve">Talking points to adapt:</w:t>
      </w:r>
    </w:p>
    <w:p>
      <w:pPr>
        <w:pStyle w:val="ListParagraph"/>
        <w:numPr>
          <w:ilvl w:val="0"/>
          <w:numId w:val="2"/>
        </w:numPr>
        <w:spacing w:after="100"/>
      </w:pPr>
      <w:r>
        <w:rPr>
          <w:b/>
          <w:bCs/>
          <w:color w:val="101E38"/>
        </w:rPr>
        <w:t xml:space="preserve">Fourth Amendment / warrantless tracking: </w:t>
      </w:r>
      <w:r>
        <w:t xml:space="preserve">ALPRs log every vehicle's movement regardless of suspicion.</w:t>
      </w:r>
    </w:p>
    <w:p>
      <w:pPr>
        <w:pStyle w:val="ListParagraph"/>
        <w:numPr>
          <w:ilvl w:val="0"/>
          <w:numId w:val="2"/>
        </w:numPr>
        <w:spacing w:after="100"/>
      </w:pPr>
      <w:r>
        <w:rPr>
          <w:b/>
          <w:bCs/>
          <w:color w:val="101E38"/>
        </w:rPr>
        <w:t xml:space="preserve">Local values fit: </w:t>
      </w:r>
      <w:r>
        <w:t xml:space="preserve">cite your municipality's own stated commitments on immigrant safety or data privacy, if any — confirm current policy language before citing it.</w:t>
      </w:r>
    </w:p>
    <w:p>
      <w:pPr>
        <w:pStyle w:val="ListParagraph"/>
        <w:numPr>
          <w:ilvl w:val="0"/>
          <w:numId w:val="2"/>
        </w:numPr>
        <w:spacing w:after="100"/>
      </w:pPr>
      <w:r>
        <w:rPr>
          <w:b/>
          <w:bCs/>
          <w:color w:val="101E38"/>
        </w:rPr>
        <w:t xml:space="preserve">Data-sharing risk: </w:t>
      </w:r>
      <w:r>
        <w:t xml:space="preserve">documented cases of ALPR data reaching ICE and being used to track people seeking reproductive healthcare across state lines.</w:t>
      </w:r>
    </w:p>
    <w:p>
      <w:pPr>
        <w:pStyle w:val="ListParagraph"/>
        <w:numPr>
          <w:ilvl w:val="0"/>
          <w:numId w:val="2"/>
        </w:numPr>
        <w:spacing w:after="100"/>
      </w:pPr>
      <w:r>
        <w:rPr>
          <w:b/>
          <w:bCs/>
          <w:color w:val="101E38"/>
        </w:rPr>
        <w:t xml:space="preserve">Vendor trustworthiness: </w:t>
      </w:r>
      <w:r>
        <w:t xml:space="preserve">Flock's own security failures (publicly accessible live feeds) and documented cases of officers nationally misusing ALPR access to stalk individuals.</w:t>
      </w:r>
    </w:p>
    <w:p>
      <w:pPr>
        <w:pStyle w:val="ListParagraph"/>
        <w:numPr>
          <w:ilvl w:val="0"/>
          <w:numId w:val="2"/>
        </w:numPr>
        <w:spacing w:after="100"/>
      </w:pPr>
      <w:r>
        <w:rPr>
          <w:b/>
          <w:bCs/>
          <w:color w:val="101E38"/>
        </w:rPr>
        <w:t xml:space="preserve">It doesn't work as advertised: </w:t>
      </w:r>
      <w:r>
        <w:t xml:space="preserve">no consistent evidence mass ALPR surveillance reduces violent crime.</w:t>
      </w:r>
    </w:p>
    <w:p>
      <w:pPr>
        <w:pStyle w:val="ListParagraph"/>
        <w:numPr>
          <w:ilvl w:val="0"/>
          <w:numId w:val="2"/>
        </w:numPr>
        <w:spacing w:after="100"/>
      </w:pPr>
      <w:r>
        <w:rPr>
          <w:b/>
          <w:bCs/>
          <w:color w:val="101E38"/>
        </w:rPr>
        <w:t xml:space="preserve">Ask for something concrete: </w:t>
      </w:r>
      <w:r>
        <w:t xml:space="preserve">a resolution to not renew/end any existing contract, a moratorium on new contracts pending review, or a public-input requirement before one can be signed.</w:t>
      </w:r>
    </w:p>
    <w:p>
      <w:pPr>
        <w:spacing w:after="180"/>
      </w:pPr>
      <w:r>
        <w:t xml:space="preserve">Tone matters: firm, well-documented, respectful. If officials ask for evidence or push back with inaccurate claims, having your FOIL findings and bibliography ready makes the difference.</w:t>
      </w:r>
    </w:p>
    <w:p>
      <w:pPr>
        <w:spacing w:after="180"/>
      </w:pPr>
      <w:r>
        <w:t xml:space="preserve">Expect a slow middle stretch — budget season, elections, and holidays will stall momentum. Plan for it.</w:t>
      </w:r>
    </w:p>
    <w:p>
      <w:pPr>
        <w:pStyle w:val="Heading1"/>
        <w:pBdr>
          <w:bottom w:val="single" w:color="D8D3C5" w:sz="6" w:space="6"/>
        </w:pBdr>
        <w:spacing w:after="160" w:before="360"/>
      </w:pPr>
      <w:r>
        <w:rPr>
          <w:rFonts w:ascii="Arial" w:cs="Arial" w:eastAsia="Arial" w:hAnsi="Arial"/>
          <w:b/>
          <w:bCs/>
          <w:color w:val="101E38"/>
          <w:sz w:val="30"/>
          <w:szCs w:val="30"/>
        </w:rPr>
        <w:t xml:space="preserve">Step 5: Escalate If Needed</w:t>
      </w:r>
    </w:p>
    <w:p>
      <w:pPr>
        <w:spacing w:after="180"/>
      </w:pPr>
      <w:r>
        <w:t xml:space="preserve">If a contract ends (or is confirmed not to exist) but equipment stays up, or officials go quiet on a removal timeline:</w:t>
      </w:r>
    </w:p>
    <w:p>
      <w:pPr>
        <w:pStyle w:val="ListParagraph"/>
        <w:numPr>
          <w:ilvl w:val="0"/>
          <w:numId w:val="2"/>
        </w:numPr>
        <w:spacing w:after="100"/>
      </w:pPr>
      <w:r>
        <w:t xml:space="preserve">Send a sign-on letter (multiple organizations, CC local media).</w:t>
      </w:r>
    </w:p>
    <w:p>
      <w:pPr>
        <w:pStyle w:val="ListParagraph"/>
        <w:numPr>
          <w:ilvl w:val="0"/>
          <w:numId w:val="2"/>
        </w:numPr>
        <w:spacing w:after="100"/>
      </w:pPr>
      <w:r>
        <w:t xml:space="preserve">Consider a visible, publicized action (e.g., covering a confirmed camera) only after exhausting official channels, with press and local officials informed in advance — this is what made Ithaca's action low-risk and high-impact rather than confrontational.</w:t>
      </w:r>
    </w:p>
    <w:p>
      <w:pPr>
        <w:pStyle w:val="Heading1"/>
        <w:pBdr>
          <w:bottom w:val="single" w:color="D8D3C5" w:sz="6" w:space="6"/>
        </w:pBdr>
        <w:spacing w:after="160" w:before="360"/>
      </w:pPr>
      <w:r>
        <w:rPr>
          <w:rFonts w:ascii="Arial" w:cs="Arial" w:eastAsia="Arial" w:hAnsi="Arial"/>
          <w:b/>
          <w:bCs/>
          <w:color w:val="101E38"/>
          <w:sz w:val="30"/>
          <w:szCs w:val="30"/>
        </w:rPr>
        <w:t xml:space="preserve">Step 6: Lock In Long-Term Protections</w:t>
      </w:r>
    </w:p>
    <w:p>
      <w:pPr>
        <w:pStyle w:val="ListParagraph"/>
        <w:numPr>
          <w:ilvl w:val="0"/>
          <w:numId w:val="2"/>
        </w:numPr>
        <w:spacing w:after="100"/>
      </w:pPr>
      <w:r>
        <w:rPr>
          <w:b/>
          <w:bCs/>
          <w:color w:val="101E38"/>
        </w:rPr>
        <w:t xml:space="preserve">Push for a CCOPS-style ordinance </w:t>
      </w:r>
      <w:r>
        <w:t xml:space="preserve">(Community Control Over Police Surveillance) requiring public approval before any future surveillance technology procurement. The </w:t>
      </w:r>
      <w:hyperlink w:history="1" r:id="rId3_dtn2gcggdvpukpaoz9c">
        <w:r>
          <w:rPr>
            <w:rStyle w:val="Hyperlink"/>
            <w:color w:val="8C3B37"/>
            <w:u w:val="single"/>
          </w:rPr>
          <w:t xml:space="preserve">ACLU's model bill</w:t>
        </w:r>
      </w:hyperlink>
      <w:r>
        <w:t xml:space="preserve"> is the standard reference; NYCLU is the group to work with locally in New York.</w:t>
      </w:r>
    </w:p>
    <w:p>
      <w:pPr>
        <w:pStyle w:val="ListParagraph"/>
        <w:numPr>
          <w:ilvl w:val="0"/>
          <w:numId w:val="2"/>
        </w:numPr>
        <w:spacing w:after="100"/>
      </w:pPr>
      <w:r>
        <w:t xml:space="preserve">Watch for a vendor swap being pitched as a fix — it isn't one. Two real examples: </w:t>
      </w:r>
      <w:hyperlink w:history="1" r:id="rIdvexa-ukulmejak_hg6dh7">
        <w:r>
          <w:rPr>
            <w:rStyle w:val="Hyperlink"/>
            <w:color w:val="8C3B37"/>
            <w:u w:val="single"/>
          </w:rPr>
          <w:t xml:space="preserve">Syracuse dropped Flock for Axon</w:t>
        </w:r>
      </w:hyperlink>
      <w:r>
        <w:t xml:space="preserve"> and kept the same underlying surveillance in place; </w:t>
      </w:r>
      <w:hyperlink w:history="1" r:id="rIdiwh9ygajjwbcup7rbmzov">
        <w:r>
          <w:rPr>
            <w:rStyle w:val="Hyperlink"/>
            <w:color w:val="8C3B37"/>
            <w:u w:val="single"/>
          </w:rPr>
          <w:t xml:space="preserve">Denver did the same</w:t>
        </w:r>
      </w:hyperlink>
      <w:r>
        <w:t xml:space="preserve">, swapping Flock for Axon rather than dropping ALPR technology altogether. Any resolution or ordinance you push for should name the technology category, not a single vendor.</w:t>
      </w:r>
    </w:p>
    <w:p>
      <w:pPr>
        <w:pStyle w:val="ListParagraph"/>
        <w:numPr>
          <w:ilvl w:val="0"/>
          <w:numId w:val="2"/>
        </w:numPr>
        <w:spacing w:after="100"/>
      </w:pPr>
      <w:r>
        <w:t xml:space="preserve">Check whether local schools, HOAs, or private businesses in your town have separate ALPR contracts of their own — these fall outside town/county authority but still affect residents' data.</w:t>
      </w:r>
    </w:p>
    <w:p>
      <w:pPr>
        <w:pBdr>
          <w:bottom w:val="single" w:color="D8D3C5" w:sz="6" w:space="1"/>
        </w:pBdr>
        <w:spacing w:after="200" w:before="200"/>
      </w:pPr>
      <w:r>
        <w:t xml:space="preserve"/>
      </w:r>
    </w:p>
    <w:p>
      <w:pPr>
        <w:spacing w:after="180"/>
      </w:pPr>
      <w:r>
        <w:t xml:space="preserve">Questions about any of this, or starting your own version in another town? Message us on Instagram: </w:t>
      </w:r>
      <w:hyperlink w:history="1" r:id="rIdurlxdl6atjumslwtmeimo">
        <w:r>
          <w:rPr>
            <w:rStyle w:val="Hyperlink"/>
            <w:color w:val="8C3B37"/>
            <w:u w:val="single"/>
          </w:rPr>
          <w:t xml:space="preserve">@flockoffwestchester</w:t>
        </w:r>
      </w:hyperlink>
      <w:r>
        <w:t xml:space="preserv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lvl w:ilvl="1" w15:tentative="1">
      <w:start w:val="1"/>
      <w:numFmt w:val="bullet"/>
      <w:lvlText w:val="◦"/>
      <w:lvlJc w:val="left"/>
      <w:pPr>
        <w:ind w:left="863"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w3mb-bcz2rnvntaxjdm7" Type="http://schemas.openxmlformats.org/officeDocument/2006/relationships/hyperlink" Target="https://www.theconsciouscitizens.org/how-to-kick-out-flock-and-organize-to-stop-mass-surveillance/" TargetMode="External"/><Relationship Id="rIdz3ec5rwjfoi6tzhfamm0e" Type="http://schemas.openxmlformats.org/officeDocument/2006/relationships/hyperlink" Target="https://deflock.org/" TargetMode="External"/><Relationship Id="rIdcbd8vsllkuq-zn3yzxkn0" Type="http://schemas.openxmlformats.org/officeDocument/2006/relationships/hyperlink" Target="https://atlasofsurveillance.org/" TargetMode="External"/><Relationship Id="rIdmct7gnnlwdkj6xxuer_nz" Type="http://schemas.openxmlformats.org/officeDocument/2006/relationships/hyperlink" Target="https://www.policingproject.org/news-main/umemoto-v-westchester" TargetMode="External"/><Relationship Id="rIdijby1prr5ovxxfsqaox5m" Type="http://schemas.openxmlformats.org/officeDocument/2006/relationships/hyperlink" Target="https://bedfordny.gov/376/FOIL-Application" TargetMode="External"/><Relationship Id="rIdjsvrxthbrtcv2swyyy16x" Type="http://schemas.openxmlformats.org/officeDocument/2006/relationships/hyperlink" Target="https://westchestercountyny.gov/contact-us/foil-form" TargetMode="External"/><Relationship Id="rIdkqadsz7i239ko_p9ddhyc" Type="http://schemas.openxmlformats.org/officeDocument/2006/relationships/hyperlink" Target="https://ssd.eff.org/module/creating-and-managing-signal-groups" TargetMode="External"/><Relationship Id="rId-6fdl4prkpaw53xkdaptp" Type="http://schemas.openxmlformats.org/officeDocument/2006/relationships/hyperlink" Target="https://www.instagram.com/flockoffwestchester" TargetMode="External"/><Relationship Id="rIdtiy6tj3m1fjxeev8thape" Type="http://schemas.openxmlformats.org/officeDocument/2006/relationships/hyperlink" Target="https://bedfordny.gov/AgendaCenter" TargetMode="External"/><Relationship Id="rId563ab8juj-orzj6zn1rr1" Type="http://schemas.openxmlformats.org/officeDocument/2006/relationships/hyperlink" Target="https://westchestercountyny.legistar.com/" TargetMode="External"/><Relationship Id="rId3_dtn2gcggdvpukpaoz9c" Type="http://schemas.openxmlformats.org/officeDocument/2006/relationships/hyperlink" Target="https://www.aclu.org/legal-document/community-control-over-police-surveillance-ccops-model-bill" TargetMode="External"/><Relationship Id="rIdvexa-ukulmejak_hg6dh7" Type="http://schemas.openxmlformats.org/officeDocument/2006/relationships/hyperlink" Target="https://www.9news.com/article/news/local/axons-cameras-set-syracuse/" TargetMode="External"/><Relationship Id="rIdiwh9ygajjwbcup7rbmzov" Type="http://schemas.openxmlformats.org/officeDocument/2006/relationships/hyperlink" Target="https://www.denvergazette.com/2026/02/24/denver-ends-contract-with-license-plate-camera-vendor-flock/" TargetMode="External"/><Relationship Id="rIdurlxdl6atjumslwtmeimo" Type="http://schemas.openxmlformats.org/officeDocument/2006/relationships/hyperlink" Target="https://www.instagram.com/flockoffwestchester"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2026-09-17T14:51:21.065Z</dcterms:created>
  <dcterms:modified xsi:type="dcterms:W3CDTF">2026-09-17T14:51:21.072Z</dcterms:modified>
</cp:coreProperties>
</file>

<file path=docProps/custom.xml><?xml version="1.0" encoding="utf-8"?>
<Properties xmlns="http://schemas.openxmlformats.org/officeDocument/2006/custom-properties" xmlns:vt="http://schemas.openxmlformats.org/officeDocument/2006/docPropsVTypes"/>
</file>